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bilancio ai sensi dell'articolo 42, comma 3, del T.U.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deliberazione delle variazioni al bilancio ai sensi dell'articolo 42, comma 3, del T.U.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EE6C6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A3A6A" w:rsidRDefault="00177939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EE6C6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Strumenti di tutela giurisdizionali: - 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E6C6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77939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3A6A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6C64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FD819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2026-06-06T19:49:00Z</dcterms:modified>
</cp:coreProperties>
</file>